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141"/>
        <w:shd w:val="clear" w:color="auto" w:fill="auto"/>
        <w:spacing w:before="0" w:after="700"/>
        <w:ind w:left="40"/>
        <w:rPr>
          <w:b/>
        </w:rPr>
      </w:pPr>
      <w:r>
        <w:rPr>
          <w:b/>
        </w:rPr>
        <w:t>ФОРМА ОБОСНОВАНИЯ НМЦ</w:t>
      </w:r>
    </w:p>
    <w:p>
      <w:pPr>
        <w:pStyle w:val="Normal"/>
        <w:widowControl w:val="false"/>
        <w:spacing w:lineRule="exact" w:line="288" w:before="0" w:after="642"/>
        <w:ind w:left="40"/>
        <w:jc w:val="center"/>
        <w:rPr>
          <w:rFonts w:ascii="Times New Roman" w:hAnsi="Times New Roman" w:eastAsia="Times New Roman" w:cs="Times New Roman"/>
          <w:b/>
          <w:color w:val="000000"/>
          <w:lang w:eastAsia="ru-RU" w:bidi="ru-RU"/>
        </w:rPr>
      </w:pPr>
      <w:r>
        <w:rPr>
          <w:rFonts w:eastAsia="Times New Roman" w:cs="Times New Roman" w:ascii="Times New Roman" w:hAnsi="Times New Roman"/>
          <w:b/>
          <w:color w:val="000000"/>
          <w:lang w:eastAsia="ru-RU" w:bidi="ru-RU"/>
        </w:rPr>
        <w:t>ОБОСНОВАНИЕ НАЧАЛЬНОЙ (МАКСИМАЛЬНОЙ) ЦЕНЫ ДОГОВОРА /</w:t>
        <w:br/>
        <w:t>ЦЕНЫ ЕДИНИЦЫ ТОВАРА, РАБОТЫ, УСЛУГИ</w:t>
      </w:r>
    </w:p>
    <w:p>
      <w:pPr>
        <w:pStyle w:val="22"/>
        <w:shd w:val="clear" w:color="auto" w:fill="auto"/>
        <w:rPr/>
      </w:pPr>
      <w:r>
        <w:rPr/>
        <w:t>1. Общая информация</w:t>
      </w:r>
    </w:p>
    <w:tbl>
      <w:tblPr>
        <w:tblStyle w:val="838"/>
        <w:tblW w:w="9776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562"/>
        <w:gridCol w:w="1823"/>
        <w:gridCol w:w="7391"/>
      </w:tblGrid>
      <w:tr>
        <w:trPr/>
        <w:tc>
          <w:tcPr>
            <w:tcW w:w="562" w:type="dxa"/>
            <w:tcBorders/>
            <w:vAlign w:val="center"/>
          </w:tcPr>
          <w:p>
            <w:pPr>
              <w:pStyle w:val="Normal"/>
              <w:widowControl w:val="false"/>
              <w:spacing w:lineRule="exact" w:line="244" w:before="0" w:after="100"/>
              <w:jc w:val="center"/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  <w:lang w:eastAsia="ru-RU" w:bidi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ru-RU"/>
              </w:rPr>
              <w:t>№</w:t>
            </w:r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Arial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ourier New" w:cs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ru-RU"/>
              </w:rPr>
              <w:t>п/п</w:t>
            </w:r>
          </w:p>
        </w:tc>
        <w:tc>
          <w:tcPr>
            <w:tcW w:w="1823" w:type="dxa"/>
            <w:tcBorders/>
            <w:shd w:color="auto" w:fill="FFFFFF" w:val="clear"/>
            <w:vAlign w:val="center"/>
          </w:tcPr>
          <w:p>
            <w:pPr>
              <w:pStyle w:val="23"/>
              <w:shd w:val="clear" w:color="auto" w:fill="auto"/>
              <w:spacing w:lineRule="exact" w:line="244" w:before="0" w:after="0"/>
              <w:ind w:hanging="0"/>
              <w:jc w:val="center"/>
              <w:rPr>
                <w:kern w:val="0"/>
                <w:lang w:val="ru-RU" w:eastAsia="en-US" w:bidi="ar-SA"/>
              </w:rPr>
            </w:pPr>
            <w:r>
              <w:rPr>
                <w:rStyle w:val="211pt"/>
                <w:kern w:val="0"/>
              </w:rPr>
              <w:t>Наименование</w:t>
            </w:r>
          </w:p>
        </w:tc>
        <w:tc>
          <w:tcPr>
            <w:tcW w:w="7391" w:type="dxa"/>
            <w:tcBorders/>
            <w:shd w:color="auto" w:fill="FFFFFF" w:val="clear"/>
            <w:vAlign w:val="center"/>
          </w:tcPr>
          <w:p>
            <w:pPr>
              <w:pStyle w:val="23"/>
              <w:shd w:val="clear" w:color="auto" w:fill="auto"/>
              <w:spacing w:lineRule="exact" w:line="244" w:before="0" w:after="0"/>
              <w:ind w:hanging="0"/>
              <w:jc w:val="center"/>
              <w:rPr>
                <w:kern w:val="0"/>
                <w:lang w:val="ru-RU" w:eastAsia="en-US" w:bidi="ar-SA"/>
              </w:rPr>
            </w:pPr>
            <w:r>
              <w:rPr>
                <w:rStyle w:val="211pt"/>
                <w:kern w:val="0"/>
              </w:rPr>
              <w:t>Информация по лоту</w:t>
            </w:r>
          </w:p>
        </w:tc>
      </w:tr>
      <w:tr>
        <w:trPr>
          <w:trHeight w:val="630" w:hRule="atLeast"/>
        </w:trPr>
        <w:tc>
          <w:tcPr>
            <w:tcW w:w="56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1.1.</w:t>
            </w:r>
          </w:p>
        </w:tc>
        <w:tc>
          <w:tcPr>
            <w:tcW w:w="182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Наименование лота</w:t>
            </w:r>
          </w:p>
        </w:tc>
        <w:tc>
          <w:tcPr>
            <w:tcW w:w="739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cs="Times New Roman"/>
                <w:bCs w:val="false"/>
                <w:i w:val="false"/>
                <w:i w:val="false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i w:val="false"/>
                <w:iCs w:val="false"/>
                <w:kern w:val="0"/>
                <w:sz w:val="24"/>
                <w:szCs w:val="24"/>
                <w:lang w:val="ru-RU" w:eastAsia="en-US" w:bidi="ar-SA"/>
              </w:rPr>
              <w:t>ОКПД2 42.21.22.120 Выполнение проектных и строительно-монтажных работ по реконструкции квартальных тепловых сетей пгт. Новорайчихинск, в рамках выполнения инвестиционного проекта N_505-АГ-115ис, для Амурских тепловых сетей</w:t>
            </w:r>
          </w:p>
        </w:tc>
      </w:tr>
      <w:tr>
        <w:trPr/>
        <w:tc>
          <w:tcPr>
            <w:tcW w:w="56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1.2.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2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Номер лота</w:t>
            </w:r>
          </w:p>
        </w:tc>
        <w:tc>
          <w:tcPr>
            <w:tcW w:w="739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22134006-ТПИР ОБСЛ-2026-ДГК-АТС</w:t>
            </w:r>
          </w:p>
        </w:tc>
      </w:tr>
      <w:tr>
        <w:trPr>
          <w:trHeight w:val="569" w:hRule="atLeast"/>
        </w:trPr>
        <w:tc>
          <w:tcPr>
            <w:tcW w:w="562" w:type="dxa"/>
            <w:tcBorders/>
            <w:shd w:color="auto" w:fill="FFFFFF" w:val="clear"/>
            <w:vAlign w:val="center"/>
          </w:tcPr>
          <w:p>
            <w:pPr>
              <w:pStyle w:val="23"/>
              <w:shd w:val="clear" w:color="auto" w:fill="auto"/>
              <w:spacing w:lineRule="exact" w:line="244" w:before="0" w:after="0"/>
              <w:ind w:hanging="0"/>
              <w:jc w:val="left"/>
              <w:rPr>
                <w:kern w:val="0"/>
                <w:lang w:val="ru-RU" w:eastAsia="en-US" w:bidi="ar-SA"/>
              </w:rPr>
            </w:pPr>
            <w:r>
              <w:rPr>
                <w:rStyle w:val="211pt"/>
                <w:kern w:val="0"/>
              </w:rPr>
              <w:t>1.3.</w:t>
            </w:r>
          </w:p>
        </w:tc>
        <w:tc>
          <w:tcPr>
            <w:tcW w:w="1823" w:type="dxa"/>
            <w:tcBorders/>
            <w:shd w:color="auto" w:fill="FFFFFF" w:val="clear"/>
            <w:vAlign w:val="center"/>
          </w:tcPr>
          <w:p>
            <w:pPr>
              <w:pStyle w:val="23"/>
              <w:shd w:val="clear" w:color="auto" w:fill="auto"/>
              <w:spacing w:lineRule="exact" w:line="244" w:before="0" w:after="0"/>
              <w:ind w:hanging="0"/>
              <w:jc w:val="left"/>
              <w:rPr>
                <w:kern w:val="0"/>
                <w:lang w:val="ru-RU" w:eastAsia="en-US" w:bidi="ar-SA"/>
              </w:rPr>
            </w:pPr>
            <w:r>
              <w:rPr>
                <w:rStyle w:val="211pt"/>
                <w:kern w:val="0"/>
              </w:rPr>
              <w:t>НМЦ</w:t>
            </w:r>
          </w:p>
        </w:tc>
        <w:tc>
          <w:tcPr>
            <w:tcW w:w="739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color w:val="FF0000"/>
                <w:sz w:val="24"/>
                <w:szCs w:val="24"/>
                <w:highlight w:val="white"/>
              </w:rPr>
            </w:pPr>
            <w:r>
              <w:rPr>
                <w:rFonts w:eastAsia="Lucida Sans Unicode" w:cs="Times New Roman" w:ascii="Times New Roman" w:hAnsi="Times New Roman"/>
                <w:i w:val="false"/>
                <w:iCs w:val="false"/>
                <w:kern w:val="0"/>
                <w:sz w:val="24"/>
                <w:szCs w:val="24"/>
                <w:highlight w:val="white"/>
                <w:lang w:val="ru-RU" w:eastAsia="ru-RU" w:bidi="ar-SA"/>
              </w:rPr>
              <w:t>6 500 000,00</w:t>
            </w:r>
            <w:r>
              <w:rPr>
                <w:rFonts w:eastAsia="Lucida Sans Unicode" w:cs="Times New Roman" w:ascii="Times New Roman" w:hAnsi="Times New Roman"/>
                <w:i w:val="false"/>
                <w:iCs w:val="false"/>
                <w:kern w:val="0"/>
                <w:sz w:val="24"/>
                <w:szCs w:val="24"/>
                <w:highlight w:val="white"/>
                <w:lang w:val="ru-RU" w:eastAsia="ru-RU" w:bidi="ar-SA"/>
              </w:rPr>
              <w:t xml:space="preserve"> </w:t>
            </w: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highlight w:val="white"/>
                <w:lang w:val="ru-RU" w:eastAsia="en-US" w:bidi="ar-SA"/>
              </w:rPr>
              <w:t>рублей без учета НДС</w:t>
            </w:r>
            <w:bookmarkStart w:id="0" w:name="_GoBack"/>
            <w:bookmarkEnd w:id="0"/>
          </w:p>
        </w:tc>
      </w:tr>
    </w:tbl>
    <w:p>
      <w:pPr>
        <w:pStyle w:val="Normal"/>
        <w:rPr/>
      </w:pPr>
      <w:r>
        <w:rPr/>
      </w:r>
    </w:p>
    <w:p>
      <w:pPr>
        <w:pStyle w:val="Normal"/>
        <w:rPr>
          <w:rFonts w:ascii="Times New Roman" w:hAnsi="Times New Roman" w:cs="Times New Roman"/>
          <w:b/>
          <w:sz w:val="26"/>
          <w:szCs w:val="26"/>
        </w:rPr>
      </w:pPr>
      <w:r>
        <w:rPr>
          <w:rFonts w:cs="Times New Roman" w:ascii="Times New Roman" w:hAnsi="Times New Roman"/>
          <w:b/>
          <w:sz w:val="26"/>
          <w:szCs w:val="26"/>
        </w:rPr>
        <w:t>2. Использованный метод (методы) расчета НМЦ / цены единицы товара, работы, услуги:</w:t>
      </w:r>
    </w:p>
    <w:p>
      <w:pPr>
        <w:pStyle w:val="Normal"/>
        <w:spacing w:lineRule="atLeast" w:line="57" w:before="0" w:after="0"/>
        <w:ind w:hanging="0" w:left="567" w:right="0"/>
        <w:jc w:val="both"/>
        <w:rPr>
          <w:rFonts w:ascii="Times New Roman" w:hAnsi="Times New Roman" w:eastAsia="Times New Roman" w:cs="Times New Roman"/>
          <w:bCs w:val="false"/>
          <w:i w:val="false"/>
          <w:i w:val="false"/>
          <w:color w:val="000000"/>
          <w:sz w:val="24"/>
          <w:szCs w:val="24"/>
        </w:rPr>
      </w:pPr>
      <w:r>
        <w:rPr>
          <w:rFonts w:eastAsia="Times New Roman" w:cs="Times New Roman" w:ascii="Times New Roman" w:hAnsi="Times New Roman"/>
          <w:i w:val="false"/>
          <w:iCs w:val="false"/>
          <w:color w:val="000000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i w:val="false"/>
          <w:iCs w:val="false"/>
          <w:color w:val="000000"/>
          <w:sz w:val="24"/>
          <w:szCs w:val="24"/>
        </w:rPr>
        <w:t xml:space="preserve">Метод </w:t>
      </w:r>
      <w:r>
        <w:rPr>
          <w:rFonts w:eastAsia="Calibri" w:cs="Times New Roman" w:ascii="Times New Roman" w:hAnsi="Times New Roman"/>
          <w:sz w:val="24"/>
          <w:szCs w:val="24"/>
          <w:lang w:eastAsia="ru-RU"/>
        </w:rPr>
        <w:t>анализа технико-коммерческих предложений</w:t>
      </w:r>
    </w:p>
    <w:p>
      <w:pPr>
        <w:pStyle w:val="Normal"/>
        <w:widowControl w:val="false"/>
        <w:spacing w:lineRule="auto" w:line="240" w:before="0" w:after="293"/>
        <w:ind w:hanging="0" w:left="567" w:right="0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i w:val="false"/>
          <w:iCs w:val="false"/>
          <w:color w:val="000000"/>
          <w:sz w:val="24"/>
          <w:szCs w:val="24"/>
        </w:rPr>
        <w:t xml:space="preserve"> </w:t>
      </w:r>
      <w:r>
        <w:rPr>
          <w:rFonts w:eastAsia="Times New Roman" w:cs="Times New Roman" w:ascii="Times New Roman" w:hAnsi="Times New Roman"/>
          <w:i w:val="false"/>
          <w:iCs w:val="false"/>
          <w:sz w:val="24"/>
          <w:szCs w:val="24"/>
          <w:lang w:eastAsia="ru-RU" w:bidi="ru-RU"/>
        </w:rPr>
        <w:t xml:space="preserve">Обоснование расчета НМЦ: </w:t>
      </w:r>
    </w:p>
    <w:tbl>
      <w:tblPr>
        <w:tblW w:w="10063" w:type="dxa"/>
        <w:jc w:val="left"/>
        <w:tblInd w:w="-28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3260"/>
        <w:gridCol w:w="1559"/>
        <w:gridCol w:w="1696"/>
        <w:gridCol w:w="1989"/>
        <w:gridCol w:w="1559"/>
      </w:tblGrid>
      <w:tr>
        <w:trPr>
          <w:trHeight w:val="70" w:hRule="atLeast"/>
        </w:trPr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E7E6E6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20"/>
                <w:szCs w:val="24"/>
                <w:lang w:eastAsia="ru-RU"/>
              </w:rPr>
              <w:t>Наименование товара/ работы/ услуги в составе лота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E7E6E6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20"/>
                <w:szCs w:val="24"/>
                <w:lang w:eastAsia="ru-RU"/>
              </w:rPr>
              <w:t>Наименование источника ценовой информации (ИЦИ)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E7E6E6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20"/>
                <w:szCs w:val="24"/>
                <w:lang w:eastAsia="ru-RU"/>
              </w:rPr>
              <w:t>Цена из соответствующего ИЦИ, в руб. без НДС</w:t>
            </w:r>
          </w:p>
        </w:tc>
        <w:tc>
          <w:tcPr>
            <w:tcW w:w="1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E7E6E6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20"/>
                <w:szCs w:val="24"/>
                <w:lang w:eastAsia="ru-RU"/>
              </w:rPr>
              <w:t>Цена итоговая, в руб. без НДС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E7E6E6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20"/>
                <w:szCs w:val="24"/>
                <w:lang w:eastAsia="ru-RU"/>
              </w:rPr>
              <w:t>Комментарии</w:t>
            </w:r>
          </w:p>
        </w:tc>
      </w:tr>
      <w:tr>
        <w:trPr>
          <w:trHeight w:val="3185" w:hRule="atLeast"/>
        </w:trPr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16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i/>
                <w:iCs/>
                <w:sz w:val="24"/>
                <w:szCs w:val="24"/>
              </w:rPr>
              <w:t>ОКПД2 42.21.22.120 Выполнение проектных и строительно-монтажных работ по реконструкции квартальных тепловых сетей пгт. Новорайчихинск, в рамках выполнения инвестиционного проекта N_505-АГ-115ис, для Амурских тепловых сетей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Normal"/>
              <w:spacing w:lineRule="auto" w:line="240" w:before="60" w:after="60"/>
              <w:rPr>
                <w:rFonts w:ascii="Times New Roman" w:hAnsi="Times New Roman" w:eastAsia="Times New Roman" w:cs="Times New Roman"/>
                <w:bCs/>
                <w:i/>
                <w:i/>
                <w:sz w:val="20"/>
                <w:szCs w:val="20"/>
                <w:highlight w:val="none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i/>
                <w:sz w:val="20"/>
                <w:szCs w:val="20"/>
                <w:lang w:eastAsia="ru-RU"/>
              </w:rPr>
              <w:t>-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i/>
                <w:sz w:val="20"/>
                <w:szCs w:val="20"/>
                <w:lang w:eastAsia="ru-RU"/>
              </w:rPr>
              <w:t>ТКП №1</w:t>
            </w:r>
          </w:p>
          <w:p>
            <w:pPr>
              <w:pStyle w:val="Normal"/>
              <w:spacing w:lineRule="auto" w:line="240" w:before="60" w:after="60"/>
              <w:rPr>
                <w:rFonts w:ascii="Times New Roman" w:hAnsi="Times New Roman" w:eastAsia="Times New Roman" w:cs="Times New Roman"/>
                <w:bCs/>
                <w:i/>
                <w:i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i/>
                <w:sz w:val="20"/>
                <w:szCs w:val="20"/>
                <w:lang w:eastAsia="ru-RU"/>
              </w:rPr>
            </w:r>
          </w:p>
          <w:p>
            <w:pPr>
              <w:pStyle w:val="Normal"/>
              <w:spacing w:lineRule="auto" w:line="240" w:before="60" w:after="60"/>
              <w:rPr>
                <w:rFonts w:ascii="Times New Roman" w:hAnsi="Times New Roman" w:eastAsia="Times New Roman" w:cs="Times New Roman"/>
                <w:bCs/>
                <w:i/>
                <w:i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i/>
                <w:sz w:val="20"/>
                <w:szCs w:val="20"/>
                <w:lang w:eastAsia="ru-RU"/>
              </w:rPr>
            </w:r>
          </w:p>
          <w:p>
            <w:pPr>
              <w:pStyle w:val="ListParagraph"/>
              <w:numPr>
                <w:ilvl w:val="0"/>
                <w:numId w:val="1"/>
              </w:numPr>
              <w:spacing w:lineRule="auto" w:line="240" w:before="60" w:after="60"/>
              <w:ind w:hanging="142" w:left="142" w:right="0"/>
              <w:contextualSpacing/>
              <w:rPr>
                <w:rFonts w:ascii="Times New Roman" w:hAnsi="Times New Roman" w:eastAsia="Times New Roman" w:cs="Times New Roman"/>
                <w:bCs/>
                <w:i/>
                <w:i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i/>
                <w:sz w:val="20"/>
                <w:szCs w:val="20"/>
                <w:lang w:eastAsia="ru-RU"/>
              </w:rPr>
              <w:t>ТКП №2</w:t>
            </w:r>
          </w:p>
          <w:p>
            <w:pPr>
              <w:pStyle w:val="ListParagraph"/>
              <w:spacing w:lineRule="auto" w:line="240" w:before="60" w:after="60"/>
              <w:ind w:hanging="142" w:left="142" w:right="0"/>
              <w:contextualSpacing/>
              <w:rPr>
                <w:rFonts w:ascii="Times New Roman" w:hAnsi="Times New Roman" w:eastAsia="Times New Roman" w:cs="Times New Roman"/>
                <w:bCs/>
                <w:i/>
                <w:i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i/>
                <w:sz w:val="20"/>
                <w:szCs w:val="20"/>
                <w:lang w:eastAsia="ru-RU"/>
              </w:rPr>
            </w:r>
          </w:p>
          <w:p>
            <w:pPr>
              <w:pStyle w:val="ListParagraph"/>
              <w:spacing w:lineRule="auto" w:line="240" w:before="60" w:after="60"/>
              <w:ind w:hanging="142" w:left="142" w:right="0"/>
              <w:contextualSpacing/>
              <w:rPr>
                <w:rFonts w:ascii="Times New Roman" w:hAnsi="Times New Roman" w:eastAsia="Times New Roman" w:cs="Times New Roman"/>
                <w:bCs/>
                <w:i/>
                <w:i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i/>
                <w:sz w:val="20"/>
                <w:szCs w:val="20"/>
                <w:lang w:eastAsia="ru-RU"/>
              </w:rPr>
            </w:r>
          </w:p>
          <w:p>
            <w:pPr>
              <w:pStyle w:val="ListParagraph"/>
              <w:spacing w:lineRule="auto" w:line="240" w:before="60" w:after="60"/>
              <w:ind w:hanging="142" w:left="142" w:right="0"/>
              <w:contextualSpacing/>
              <w:rPr>
                <w:rFonts w:ascii="Times New Roman" w:hAnsi="Times New Roman" w:eastAsia="Times New Roman" w:cs="Times New Roman"/>
                <w:bCs/>
                <w:i/>
                <w:i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i/>
                <w:sz w:val="20"/>
                <w:szCs w:val="20"/>
                <w:lang w:eastAsia="ru-RU"/>
              </w:rPr>
            </w:r>
          </w:p>
          <w:p>
            <w:pPr>
              <w:pStyle w:val="ListParagraph"/>
              <w:spacing w:lineRule="auto" w:line="240" w:before="60" w:after="60"/>
              <w:ind w:hanging="142" w:left="142" w:right="0"/>
              <w:contextualSpacing/>
              <w:rPr>
                <w:rFonts w:ascii="Times New Roman" w:hAnsi="Times New Roman" w:eastAsia="Times New Roman" w:cs="Times New Roman"/>
                <w:bCs/>
                <w:i/>
                <w:i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i/>
                <w:sz w:val="20"/>
                <w:szCs w:val="20"/>
                <w:lang w:eastAsia="ru-RU"/>
              </w:rPr>
              <w:t>-ТКП №3</w:t>
            </w:r>
          </w:p>
          <w:p>
            <w:pPr>
              <w:pStyle w:val="Normal"/>
              <w:spacing w:lineRule="auto" w:line="240" w:before="60" w:after="60"/>
              <w:rPr>
                <w:rFonts w:ascii="Times New Roman" w:hAnsi="Times New Roman" w:eastAsia="Times New Roman" w:cs="Times New Roman"/>
                <w:i/>
                <w:i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i/>
                <w:sz w:val="20"/>
                <w:szCs w:val="20"/>
                <w:lang w:eastAsia="ru-RU"/>
              </w:rPr>
            </w:r>
          </w:p>
          <w:p>
            <w:pPr>
              <w:pStyle w:val="Normal"/>
              <w:spacing w:lineRule="auto" w:line="240" w:before="60" w:after="60"/>
              <w:rPr>
                <w:rFonts w:ascii="Times New Roman" w:hAnsi="Times New Roman" w:eastAsia="Times New Roman" w:cs="Times New Roman"/>
                <w:i/>
                <w:i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i/>
                <w:sz w:val="20"/>
                <w:szCs w:val="20"/>
                <w:lang w:eastAsia="ru-RU"/>
              </w:rPr>
            </w:r>
          </w:p>
          <w:p>
            <w:pPr>
              <w:pStyle w:val="Normal"/>
              <w:spacing w:lineRule="auto" w:line="240" w:before="60" w:after="60"/>
              <w:rPr>
                <w:rFonts w:ascii="Times New Roman" w:hAnsi="Times New Roman" w:eastAsia="Times New Roman" w:cs="Times New Roman"/>
                <w:i/>
                <w:i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i/>
                <w:sz w:val="20"/>
                <w:szCs w:val="20"/>
                <w:lang w:eastAsia="ru-RU"/>
              </w:rPr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Normal"/>
              <w:spacing w:lineRule="auto" w:line="240" w:before="60" w:after="60"/>
              <w:rPr>
                <w:rFonts w:ascii="Times New Roman" w:hAnsi="Times New Roman" w:eastAsia="Times New Roman" w:cs="Times New Roman"/>
                <w:i/>
                <w:i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i/>
                <w:sz w:val="20"/>
                <w:szCs w:val="20"/>
                <w:lang w:eastAsia="ru-RU"/>
              </w:rPr>
              <w:t>6 500 000</w:t>
            </w:r>
            <w:r>
              <w:rPr>
                <w:rFonts w:eastAsia="Times New Roman" w:cs="Times New Roman" w:ascii="Times New Roman" w:hAnsi="Times New Roman"/>
                <w:i/>
                <w:sz w:val="20"/>
                <w:szCs w:val="20"/>
                <w:lang w:eastAsia="ru-RU"/>
              </w:rPr>
              <w:t>,00</w:t>
            </w:r>
          </w:p>
          <w:p>
            <w:pPr>
              <w:pStyle w:val="Normal"/>
              <w:spacing w:lineRule="auto" w:line="240" w:before="60" w:after="60"/>
              <w:rPr>
                <w:rFonts w:ascii="Times New Roman" w:hAnsi="Times New Roman" w:eastAsia="Times New Roman" w:cs="Times New Roman"/>
                <w:i/>
                <w:i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i/>
                <w:sz w:val="20"/>
                <w:szCs w:val="20"/>
                <w:lang w:eastAsia="ru-RU"/>
              </w:rPr>
            </w:r>
          </w:p>
          <w:p>
            <w:pPr>
              <w:pStyle w:val="Normal"/>
              <w:spacing w:lineRule="auto" w:line="240" w:before="60" w:after="60"/>
              <w:rPr>
                <w:rFonts w:ascii="Times New Roman" w:hAnsi="Times New Roman" w:eastAsia="Times New Roman" w:cs="Times New Roman"/>
                <w:i/>
                <w:i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i/>
                <w:sz w:val="20"/>
                <w:szCs w:val="20"/>
                <w:lang w:eastAsia="ru-RU"/>
              </w:rPr>
            </w:r>
          </w:p>
          <w:p>
            <w:pPr>
              <w:pStyle w:val="Normal"/>
              <w:spacing w:lineRule="auto" w:line="240" w:before="60" w:after="60"/>
              <w:rPr>
                <w:rFonts w:ascii="Times New Roman" w:hAnsi="Times New Roman" w:eastAsia="Times New Roman" w:cs="Times New Roman"/>
                <w:i/>
                <w:i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i/>
                <w:sz w:val="20"/>
                <w:szCs w:val="20"/>
                <w:lang w:eastAsia="ru-RU"/>
              </w:rPr>
              <w:t>6 500 000</w:t>
            </w:r>
            <w:r>
              <w:rPr>
                <w:rFonts w:eastAsia="Times New Roman" w:cs="Times New Roman" w:ascii="Times New Roman" w:hAnsi="Times New Roman"/>
                <w:i/>
                <w:sz w:val="20"/>
                <w:szCs w:val="20"/>
                <w:lang w:eastAsia="ru-RU"/>
              </w:rPr>
              <w:t>,00</w:t>
            </w:r>
          </w:p>
          <w:p>
            <w:pPr>
              <w:pStyle w:val="Normal"/>
              <w:spacing w:lineRule="auto" w:line="240" w:before="60" w:after="60"/>
              <w:rPr>
                <w:rFonts w:ascii="Times New Roman" w:hAnsi="Times New Roman" w:eastAsia="Times New Roman" w:cs="Times New Roman"/>
                <w:i/>
                <w:i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i/>
                <w:sz w:val="20"/>
                <w:szCs w:val="20"/>
                <w:lang w:eastAsia="ru-RU"/>
              </w:rPr>
            </w:r>
          </w:p>
          <w:p>
            <w:pPr>
              <w:pStyle w:val="Normal"/>
              <w:spacing w:lineRule="auto" w:line="240" w:before="60" w:after="60"/>
              <w:rPr>
                <w:rFonts w:ascii="Times New Roman" w:hAnsi="Times New Roman" w:eastAsia="Times New Roman" w:cs="Times New Roman"/>
                <w:i/>
                <w:i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i/>
                <w:sz w:val="20"/>
                <w:szCs w:val="20"/>
                <w:lang w:eastAsia="ru-RU"/>
              </w:rPr>
            </w:r>
          </w:p>
          <w:p>
            <w:pPr>
              <w:pStyle w:val="Normal"/>
              <w:spacing w:lineRule="auto" w:line="240" w:before="60" w:after="60"/>
              <w:rPr>
                <w:rFonts w:ascii="Times New Roman" w:hAnsi="Times New Roman" w:eastAsia="Times New Roman" w:cs="Times New Roman"/>
                <w:i/>
                <w:i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i/>
                <w:sz w:val="20"/>
                <w:szCs w:val="20"/>
                <w:lang w:eastAsia="ru-RU"/>
              </w:rPr>
              <w:t>6 500 000</w:t>
            </w:r>
            <w:r>
              <w:rPr>
                <w:rFonts w:eastAsia="Times New Roman" w:cs="Times New Roman" w:ascii="Times New Roman" w:hAnsi="Times New Roman"/>
                <w:i/>
                <w:sz w:val="20"/>
                <w:szCs w:val="20"/>
                <w:lang w:eastAsia="ru-RU"/>
              </w:rPr>
              <w:t>,00</w:t>
            </w:r>
          </w:p>
          <w:p>
            <w:pPr>
              <w:pStyle w:val="Normal"/>
              <w:spacing w:lineRule="auto" w:line="240" w:before="60" w:after="60"/>
              <w:rPr>
                <w:rFonts w:ascii="Times New Roman" w:hAnsi="Times New Roman" w:eastAsia="Times New Roman" w:cs="Times New Roman"/>
                <w:i/>
                <w:i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i/>
                <w:sz w:val="20"/>
                <w:szCs w:val="20"/>
                <w:lang w:eastAsia="ru-RU"/>
              </w:rPr>
            </w:r>
          </w:p>
          <w:p>
            <w:pPr>
              <w:pStyle w:val="Normal"/>
              <w:spacing w:lineRule="auto" w:line="240" w:before="60" w:after="60"/>
              <w:rPr>
                <w:rFonts w:ascii="Times New Roman" w:hAnsi="Times New Roman" w:eastAsia="Times New Roman" w:cs="Times New Roman"/>
                <w:i/>
                <w:i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i/>
                <w:sz w:val="20"/>
                <w:szCs w:val="20"/>
                <w:lang w:eastAsia="ru-RU"/>
              </w:rPr>
            </w:r>
          </w:p>
          <w:p>
            <w:pPr>
              <w:pStyle w:val="Normal"/>
              <w:spacing w:lineRule="auto" w:line="240" w:before="60" w:after="60"/>
              <w:rPr>
                <w:rFonts w:ascii="Times New Roman" w:hAnsi="Times New Roman" w:eastAsia="Times New Roman" w:cs="Times New Roman"/>
                <w:i/>
                <w:i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i/>
                <w:sz w:val="20"/>
                <w:szCs w:val="20"/>
                <w:lang w:eastAsia="ru-RU"/>
              </w:rPr>
            </w:r>
          </w:p>
        </w:tc>
        <w:tc>
          <w:tcPr>
            <w:tcW w:w="1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i/>
                <w:i/>
                <w:sz w:val="20"/>
                <w:szCs w:val="20"/>
                <w:shd w:fill="FFFF99" w:val="clear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i/>
                <w:color w:val="000000"/>
                <w:sz w:val="20"/>
                <w:szCs w:val="20"/>
                <w:lang w:eastAsia="ru-RU"/>
              </w:rPr>
              <w:t>минимальное значение полученных ТКП: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i/>
                <w:i/>
                <w:sz w:val="20"/>
                <w:szCs w:val="20"/>
                <w:shd w:fill="FFFF99" w:val="clear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i/>
                <w:sz w:val="20"/>
                <w:szCs w:val="20"/>
                <w:shd w:fill="FFFF99" w:val="clear"/>
                <w:lang w:eastAsia="ru-RU"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i/>
                <w:i/>
                <w:sz w:val="20"/>
                <w:szCs w:val="20"/>
                <w:shd w:fill="FFFF99" w:val="clear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i/>
                <w:color w:val="000000"/>
                <w:sz w:val="20"/>
                <w:szCs w:val="20"/>
                <w:lang w:eastAsia="ru-RU"/>
              </w:rPr>
              <w:t>6 500 000</w:t>
            </w:r>
            <w:r>
              <w:rPr>
                <w:rFonts w:eastAsia="Times New Roman" w:cs="Times New Roman" w:ascii="Times New Roman" w:hAnsi="Times New Roman"/>
                <w:bCs/>
                <w:i/>
                <w:color w:val="000000"/>
                <w:sz w:val="20"/>
                <w:szCs w:val="20"/>
                <w:lang w:eastAsia="ru-RU"/>
              </w:rPr>
              <w:t>,00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i/>
                <w:i/>
                <w:sz w:val="20"/>
                <w:szCs w:val="20"/>
                <w:shd w:fill="FFFF99" w:val="clear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i/>
                <w:sz w:val="20"/>
                <w:szCs w:val="20"/>
                <w:shd w:fill="FFFF99" w:val="clear"/>
                <w:lang w:eastAsia="ru-RU"/>
              </w:rPr>
            </w:r>
          </w:p>
          <w:p>
            <w:pPr>
              <w:pStyle w:val="Normal"/>
              <w:spacing w:lineRule="auto" w:line="240" w:before="60" w:after="60"/>
              <w:rPr>
                <w:rFonts w:ascii="Times New Roman" w:hAnsi="Times New Roman" w:eastAsia="Times New Roman" w:cs="Times New Roman"/>
                <w:i/>
                <w:i/>
                <w:sz w:val="20"/>
                <w:szCs w:val="20"/>
                <w:shd w:fill="FFFF99" w:val="clear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i/>
                <w:sz w:val="20"/>
                <w:szCs w:val="20"/>
                <w:shd w:fill="FFFF99" w:val="clear"/>
                <w:lang w:eastAsia="ru-RU"/>
              </w:rPr>
            </w:r>
          </w:p>
        </w:tc>
        <w:tc>
          <w:tcPr>
            <w:tcW w:w="155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Normal"/>
              <w:spacing w:lineRule="auto" w:line="240" w:before="60" w:after="60"/>
              <w:rPr>
                <w:rFonts w:ascii="Times New Roman" w:hAnsi="Times New Roman" w:eastAsia="Times New Roman" w:cs="Times New Roman"/>
                <w:i/>
                <w:i/>
                <w:sz w:val="20"/>
                <w:szCs w:val="20"/>
                <w:shd w:fill="FFFF99" w:val="clear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i/>
                <w:sz w:val="20"/>
                <w:szCs w:val="20"/>
                <w:lang w:eastAsia="ru-RU"/>
              </w:rPr>
              <w:t>Предоставлено ТКП от 3</w:t>
            </w:r>
            <w:r>
              <w:rPr>
                <w:rFonts w:eastAsia="Times New Roman" w:cs="Times New Roman" w:ascii="Times New Roman" w:hAnsi="Times New Roman"/>
                <w:i/>
                <w:color w:val="000000"/>
                <w:sz w:val="20"/>
                <w:szCs w:val="20"/>
                <w:lang w:eastAsia="ru-RU"/>
              </w:rPr>
              <w:t xml:space="preserve">-х </w:t>
            </w:r>
            <w:r>
              <w:rPr>
                <w:rFonts w:eastAsia="Times New Roman" w:cs="Times New Roman" w:ascii="Times New Roman" w:hAnsi="Times New Roman"/>
                <w:i/>
                <w:sz w:val="20"/>
                <w:szCs w:val="20"/>
                <w:lang w:eastAsia="ru-RU"/>
              </w:rPr>
              <w:t>ИЦИ</w:t>
            </w:r>
          </w:p>
        </w:tc>
      </w:tr>
    </w:tbl>
    <w:p>
      <w:pPr>
        <w:pStyle w:val="Normal"/>
        <w:rPr>
          <w:rFonts w:ascii="Times New Roman" w:hAnsi="Times New Roman" w:cs="Times New Roman"/>
          <w:b/>
          <w:sz w:val="26"/>
          <w:szCs w:val="26"/>
        </w:rPr>
      </w:pPr>
      <w:r>
        <w:rPr>
          <w:rFonts w:cs="Times New Roman" w:ascii="Times New Roman" w:hAnsi="Times New Roman"/>
          <w:b/>
          <w:sz w:val="26"/>
          <w:szCs w:val="26"/>
        </w:rPr>
      </w:r>
    </w:p>
    <w:p>
      <w:pPr>
        <w:pStyle w:val="Normal"/>
        <w:spacing w:before="0" w:after="16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cs="Times New Roman" w:ascii="Times New Roman" w:hAnsi="Times New Roman"/>
          <w:sz w:val="26"/>
          <w:szCs w:val="26"/>
        </w:rPr>
      </w:r>
    </w:p>
    <w:sectPr>
      <w:type w:val="nextPage"/>
      <w:pgSz w:w="11906" w:h="16838"/>
      <w:pgMar w:left="1304" w:right="851" w:gutter="0" w:header="0" w:top="851" w:footer="0" w:bottom="851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Arial">
    <w:charset w:val="01"/>
    <w:family w:val="roman"/>
    <w:pitch w:val="variable"/>
  </w:font>
  <w:font w:name="Times New Roman">
    <w:charset w:val="01"/>
    <w:family w:val="roman"/>
    <w:pitch w:val="variable"/>
  </w:font>
  <w:font w:name="Segoe UI">
    <w:charset w:val="01"/>
    <w:family w:val="roman"/>
    <w:pitch w:val="variable"/>
  </w:font>
  <w:font w:name="Open Sans">
    <w:charset w:val="01"/>
    <w:family w:val="roman"/>
    <w:pitch w:val="variable"/>
  </w:font>
  <w:font w:name="Arial">
    <w:charset w:val="01"/>
    <w:family w:val="swiss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default"/>
  </w:font>
  <w:font w:name="Symbol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–"/>
      <w:lvlJc w:val="left"/>
      <w:pPr>
        <w:tabs>
          <w:tab w:val="num" w:pos="0"/>
        </w:tabs>
        <w:ind w:left="709" w:hanging="360"/>
      </w:pPr>
      <w:rPr>
        <w:rFonts w:ascii="Arial" w:hAnsi="Arial" w:cs="Aria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2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§"/>
      <w:lvlJc w:val="left"/>
      <w:pPr>
        <w:tabs>
          <w:tab w:val="num" w:pos="0"/>
        </w:tabs>
        <w:ind w:left="2149" w:hanging="360"/>
      </w:pPr>
      <w:rPr>
        <w:rFonts w:ascii="Wingdings" w:hAnsi="Wingdings" w:cs="Wingdings" w:hint="default"/>
      </w:rPr>
    </w:lvl>
    <w:lvl w:ilvl="3">
      <w:start w:val="1"/>
      <w:numFmt w:val="bullet"/>
      <w:lvlText w:val="·"/>
      <w:lvlJc w:val="left"/>
      <w:pPr>
        <w:tabs>
          <w:tab w:val="num" w:pos="0"/>
        </w:tabs>
        <w:ind w:left="286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58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§"/>
      <w:lvlJc w:val="left"/>
      <w:pPr>
        <w:tabs>
          <w:tab w:val="num" w:pos="0"/>
        </w:tabs>
        <w:ind w:left="4309" w:hanging="360"/>
      </w:pPr>
      <w:rPr>
        <w:rFonts w:ascii="Wingdings" w:hAnsi="Wingdings" w:cs="Wingdings" w:hint="default"/>
      </w:rPr>
    </w:lvl>
    <w:lvl w:ilvl="6">
      <w:start w:val="1"/>
      <w:numFmt w:val="bullet"/>
      <w:lvlText w:val="·"/>
      <w:lvlJc w:val="left"/>
      <w:pPr>
        <w:tabs>
          <w:tab w:val="num" w:pos="0"/>
        </w:tabs>
        <w:ind w:left="502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4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§"/>
      <w:lvlJc w:val="left"/>
      <w:pPr>
        <w:tabs>
          <w:tab w:val="num" w:pos="0"/>
        </w:tabs>
        <w:ind w:left="6469" w:hanging="360"/>
      </w:pPr>
      <w:rPr>
        <w:rFonts w:ascii="Wingdings" w:hAnsi="Wingdings" w:cs="Wingdings" w:hint="default"/>
      </w:r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 w:eastAsia="zh-CN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Arial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59" w:beforeAutospacing="0" w:before="0" w:afterAutospacing="0" w:after="160"/>
      <w:jc w:val="left"/>
    </w:pPr>
    <w:rPr>
      <w:rFonts w:ascii="Calibri" w:hAnsi="Calibri" w:eastAsia="Calibri" w:cs="Arial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Heading1">
    <w:name w:val="Heading 1"/>
    <w:basedOn w:val="Normal"/>
    <w:uiPriority w:val="9"/>
    <w:qFormat/>
    <w:pPr>
      <w:keepNext w:val="true"/>
      <w:keepLines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paragraph" w:styleId="Heading2">
    <w:name w:val="Heading 2"/>
    <w:basedOn w:val="Normal"/>
    <w:uiPriority w:val="9"/>
    <w:unhideWhenUsed/>
    <w:qFormat/>
    <w:pPr>
      <w:keepNext w:val="true"/>
      <w:keepLines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Heading3">
    <w:name w:val="Heading 3"/>
    <w:basedOn w:val="Normal"/>
    <w:uiPriority w:val="9"/>
    <w:unhideWhenUsed/>
    <w:qFormat/>
    <w:pPr>
      <w:keepNext w:val="true"/>
      <w:keepLines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Heading4">
    <w:name w:val="Heading 4"/>
    <w:basedOn w:val="Normal"/>
    <w:uiPriority w:val="9"/>
    <w:unhideWhenUsed/>
    <w:qFormat/>
    <w:pPr>
      <w:keepNext w:val="true"/>
      <w:keepLines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Heading5">
    <w:name w:val="Heading 5"/>
    <w:basedOn w:val="Normal"/>
    <w:uiPriority w:val="9"/>
    <w:unhideWhenUsed/>
    <w:qFormat/>
    <w:pPr>
      <w:keepNext w:val="true"/>
      <w:keepLines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Heading6">
    <w:name w:val="Heading 6"/>
    <w:basedOn w:val="Normal"/>
    <w:uiPriority w:val="9"/>
    <w:unhideWhenUsed/>
    <w:qFormat/>
    <w:pPr>
      <w:keepNext w:val="true"/>
      <w:keepLines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Heading7">
    <w:name w:val="Heading 7"/>
    <w:basedOn w:val="Normal"/>
    <w:uiPriority w:val="9"/>
    <w:unhideWhenUsed/>
    <w:qFormat/>
    <w:pPr>
      <w:keepNext w:val="true"/>
      <w:keepLines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Heading8">
    <w:name w:val="Heading 8"/>
    <w:basedOn w:val="Normal"/>
    <w:uiPriority w:val="9"/>
    <w:unhideWhenUsed/>
    <w:qFormat/>
    <w:pPr>
      <w:keepNext w:val="true"/>
      <w:keepLines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Heading9">
    <w:name w:val="Heading 9"/>
    <w:basedOn w:val="Normal"/>
    <w:uiPriority w:val="9"/>
    <w:unhideWhenUsed/>
    <w:qFormat/>
    <w:pPr>
      <w:keepNext w:val="true"/>
      <w:keepLines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Heading1Char">
    <w:name w:val="Heading 1 Char"/>
    <w:basedOn w:val="DefaultParagraphFont"/>
    <w:uiPriority w:val="9"/>
    <w:qFormat/>
    <w:rPr>
      <w:rFonts w:ascii="Arial" w:hAnsi="Arial" w:eastAsia="Arial" w:cs="Arial"/>
      <w:sz w:val="40"/>
      <w:szCs w:val="40"/>
    </w:rPr>
  </w:style>
  <w:style w:type="character" w:styleId="Heading2Char">
    <w:name w:val="Heading 2 Char"/>
    <w:basedOn w:val="DefaultParagraphFont"/>
    <w:uiPriority w:val="9"/>
    <w:qFormat/>
    <w:rPr>
      <w:rFonts w:ascii="Arial" w:hAnsi="Arial" w:eastAsia="Arial" w:cs="Arial"/>
      <w:sz w:val="34"/>
    </w:rPr>
  </w:style>
  <w:style w:type="character" w:styleId="Heading3Char">
    <w:name w:val="Heading 3 Char"/>
    <w:basedOn w:val="DefaultParagraphFont"/>
    <w:uiPriority w:val="9"/>
    <w:qFormat/>
    <w:rPr>
      <w:rFonts w:ascii="Arial" w:hAnsi="Arial" w:eastAsia="Arial" w:cs="Arial"/>
      <w:sz w:val="30"/>
      <w:szCs w:val="30"/>
    </w:rPr>
  </w:style>
  <w:style w:type="character" w:styleId="Heading4Char">
    <w:name w:val="Heading 4 Char"/>
    <w:basedOn w:val="DefaultParagraphFont"/>
    <w:uiPriority w:val="9"/>
    <w:qFormat/>
    <w:rPr>
      <w:rFonts w:ascii="Arial" w:hAnsi="Arial" w:eastAsia="Arial" w:cs="Arial"/>
      <w:b/>
      <w:bCs/>
      <w:sz w:val="26"/>
      <w:szCs w:val="26"/>
    </w:rPr>
  </w:style>
  <w:style w:type="character" w:styleId="Heading5Char">
    <w:name w:val="Heading 5 Char"/>
    <w:basedOn w:val="DefaultParagraphFont"/>
    <w:uiPriority w:val="9"/>
    <w:qFormat/>
    <w:rPr>
      <w:rFonts w:ascii="Arial" w:hAnsi="Arial" w:eastAsia="Arial" w:cs="Arial"/>
      <w:b/>
      <w:bCs/>
      <w:sz w:val="24"/>
      <w:szCs w:val="24"/>
    </w:rPr>
  </w:style>
  <w:style w:type="character" w:styleId="Heading6Char">
    <w:name w:val="Heading 6 Char"/>
    <w:basedOn w:val="DefaultParagraphFont"/>
    <w:uiPriority w:val="9"/>
    <w:qFormat/>
    <w:rPr>
      <w:rFonts w:ascii="Arial" w:hAnsi="Arial" w:eastAsia="Arial" w:cs="Arial"/>
      <w:b/>
      <w:bCs/>
      <w:sz w:val="22"/>
      <w:szCs w:val="22"/>
    </w:rPr>
  </w:style>
  <w:style w:type="character" w:styleId="Heading7Char">
    <w:name w:val="Heading 7 Char"/>
    <w:basedOn w:val="DefaultParagraphFont"/>
    <w:uiPriority w:val="9"/>
    <w:qFormat/>
    <w:rPr>
      <w:rFonts w:ascii="Arial" w:hAnsi="Arial" w:eastAsia="Arial" w:cs="Arial"/>
      <w:b/>
      <w:bCs/>
      <w:i/>
      <w:iCs/>
      <w:sz w:val="22"/>
      <w:szCs w:val="22"/>
    </w:rPr>
  </w:style>
  <w:style w:type="character" w:styleId="Heading8Char">
    <w:name w:val="Heading 8 Char"/>
    <w:basedOn w:val="DefaultParagraphFont"/>
    <w:uiPriority w:val="9"/>
    <w:qFormat/>
    <w:rPr>
      <w:rFonts w:ascii="Arial" w:hAnsi="Arial" w:eastAsia="Arial" w:cs="Arial"/>
      <w:i/>
      <w:iCs/>
      <w:sz w:val="22"/>
      <w:szCs w:val="22"/>
    </w:rPr>
  </w:style>
  <w:style w:type="character" w:styleId="Heading9Char">
    <w:name w:val="Heading 9 Char"/>
    <w:basedOn w:val="DefaultParagraphFont"/>
    <w:uiPriority w:val="9"/>
    <w:qFormat/>
    <w:rPr>
      <w:rFonts w:ascii="Arial" w:hAnsi="Arial" w:eastAsia="Arial" w:cs="Arial"/>
      <w:i/>
      <w:iCs/>
      <w:sz w:val="21"/>
      <w:szCs w:val="21"/>
    </w:rPr>
  </w:style>
  <w:style w:type="character" w:styleId="TitleChar">
    <w:name w:val="Title Char"/>
    <w:basedOn w:val="DefaultParagraphFont"/>
    <w:uiPriority w:val="10"/>
    <w:qFormat/>
    <w:rPr>
      <w:sz w:val="48"/>
      <w:szCs w:val="48"/>
    </w:rPr>
  </w:style>
  <w:style w:type="character" w:styleId="SubtitleChar">
    <w:name w:val="Subtitle Char"/>
    <w:basedOn w:val="DefaultParagraphFont"/>
    <w:uiPriority w:val="11"/>
    <w:qFormat/>
    <w:rPr>
      <w:sz w:val="24"/>
      <w:szCs w:val="24"/>
    </w:rPr>
  </w:style>
  <w:style w:type="character" w:styleId="QuoteChar">
    <w:name w:val="Quote Char"/>
    <w:uiPriority w:val="29"/>
    <w:qFormat/>
    <w:rPr>
      <w:i/>
    </w:rPr>
  </w:style>
  <w:style w:type="character" w:styleId="IntenseQuoteChar">
    <w:name w:val="Intense Quote Char"/>
    <w:uiPriority w:val="30"/>
    <w:qFormat/>
    <w:rPr>
      <w:i/>
    </w:rPr>
  </w:style>
  <w:style w:type="character" w:styleId="HeaderChar">
    <w:name w:val="Header Char"/>
    <w:basedOn w:val="DefaultParagraphFont"/>
    <w:uiPriority w:val="99"/>
    <w:qFormat/>
    <w:rPr/>
  </w:style>
  <w:style w:type="character" w:styleId="FooterChar">
    <w:name w:val="Footer Char"/>
    <w:basedOn w:val="DefaultParagraphFont"/>
    <w:uiPriority w:val="99"/>
    <w:qFormat/>
    <w:rPr/>
  </w:style>
  <w:style w:type="character" w:styleId="CaptionChar">
    <w:name w:val="Caption Char"/>
    <w:uiPriority w:val="99"/>
    <w:qFormat/>
    <w:rPr/>
  </w:style>
  <w:style w:type="character" w:styleId="Hyperlink">
    <w:name w:val="Hyperlink"/>
    <w:uiPriority w:val="99"/>
    <w:unhideWhenUsed/>
    <w:rPr>
      <w:color w:themeColor="hyperlink" w:val="0000FF"/>
      <w:u w:val="single"/>
    </w:rPr>
  </w:style>
  <w:style w:type="character" w:styleId="FootnoteTextChar">
    <w:name w:val="Footnote Text Char"/>
    <w:uiPriority w:val="99"/>
    <w:qFormat/>
    <w:rPr>
      <w:sz w:val="18"/>
    </w:rPr>
  </w:style>
  <w:style w:type="character" w:styleId="Style5">
    <w:name w:val="Символ сноски"/>
    <w:uiPriority w:val="99"/>
    <w:unhideWhenUsed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EndnoteTextChar">
    <w:name w:val="Endnote Text Char"/>
    <w:uiPriority w:val="99"/>
    <w:qFormat/>
    <w:rPr>
      <w:sz w:val="20"/>
    </w:rPr>
  </w:style>
  <w:style w:type="character" w:styleId="Style6">
    <w:name w:val="Символ концевой сноски"/>
    <w:uiPriority w:val="99"/>
    <w:semiHidden/>
    <w:unhideWhenUsed/>
    <w:qFormat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14" w:customStyle="1">
    <w:name w:val="Основной текст (14)_"/>
    <w:basedOn w:val="DefaultParagraphFont"/>
    <w:qFormat/>
    <w:rPr>
      <w:rFonts w:ascii="Times New Roman" w:hAnsi="Times New Roman" w:eastAsia="Times New Roman" w:cs="Times New Roman"/>
      <w:shd w:fill="FFFFFF" w:val="clear"/>
    </w:rPr>
  </w:style>
  <w:style w:type="character" w:styleId="2" w:customStyle="1">
    <w:name w:val="Подпись к таблице (2)_"/>
    <w:basedOn w:val="DefaultParagraphFont"/>
    <w:qFormat/>
    <w:rPr>
      <w:rFonts w:ascii="Times New Roman" w:hAnsi="Times New Roman" w:eastAsia="Times New Roman" w:cs="Times New Roman"/>
      <w:b/>
      <w:bCs/>
      <w:sz w:val="26"/>
      <w:szCs w:val="26"/>
      <w:shd w:fill="FFFFFF" w:val="clear"/>
    </w:rPr>
  </w:style>
  <w:style w:type="character" w:styleId="21" w:customStyle="1">
    <w:name w:val="Основной текст (2)_"/>
    <w:basedOn w:val="DefaultParagraphFont"/>
    <w:qFormat/>
    <w:rPr>
      <w:rFonts w:ascii="Times New Roman" w:hAnsi="Times New Roman" w:eastAsia="Times New Roman" w:cs="Times New Roman"/>
      <w:sz w:val="26"/>
      <w:szCs w:val="26"/>
      <w:shd w:fill="FFFFFF" w:val="clear"/>
    </w:rPr>
  </w:style>
  <w:style w:type="character" w:styleId="211pt" w:customStyle="1">
    <w:name w:val="Основной текст (2) + 11 pt"/>
    <w:basedOn w:val="21"/>
    <w:qFormat/>
    <w:rPr>
      <w:rFonts w:ascii="Times New Roman" w:hAnsi="Times New Roman" w:eastAsia="Times New Roman" w:cs="Times New Roman"/>
      <w:color w:val="000000"/>
      <w:spacing w:val="0"/>
      <w:sz w:val="22"/>
      <w:szCs w:val="22"/>
      <w:shd w:fill="FFFFFF" w:val="clear"/>
      <w:lang w:val="ru-RU" w:eastAsia="ru-RU" w:bidi="ru-RU"/>
    </w:rPr>
  </w:style>
  <w:style w:type="character" w:styleId="Style7" w:customStyle="1">
    <w:name w:val="Текст выноски Знак"/>
    <w:basedOn w:val="DefaultParagraphFont"/>
    <w:uiPriority w:val="99"/>
    <w:semiHidden/>
    <w:qFormat/>
    <w:rPr>
      <w:rFonts w:ascii="Segoe UI" w:hAnsi="Segoe UI" w:cs="Segoe UI"/>
      <w:sz w:val="18"/>
      <w:szCs w:val="18"/>
    </w:rPr>
  </w:style>
  <w:style w:type="paragraph" w:styleId="Style8">
    <w:name w:val="Заголовок"/>
    <w:basedOn w:val="Normal"/>
    <w:next w:val="BodyText"/>
    <w:qFormat/>
    <w:pPr>
      <w:keepNext w:val="true"/>
      <w:spacing w:before="240" w:after="120"/>
    </w:pPr>
    <w:rPr>
      <w:rFonts w:ascii="Open Sans" w:hAnsi="Open Sans" w:eastAsia="Tahoma" w:cs="Lohit Devanagari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ohit Devanagari"/>
    </w:rPr>
  </w:style>
  <w:style w:type="paragraph" w:styleId="Caption">
    <w:name w:val="Caption"/>
    <w:basedOn w:val="Normal"/>
    <w:uiPriority w:val="35"/>
    <w:semiHidden/>
    <w:unhideWhenUsed/>
    <w:qFormat/>
    <w:pPr>
      <w:spacing w:lineRule="auto" w:line="276"/>
    </w:pPr>
    <w:rPr>
      <w:b/>
      <w:bCs/>
      <w:color w:themeColor="accent1" w:val="4F81BD"/>
      <w:sz w:val="18"/>
      <w:szCs w:val="18"/>
    </w:rPr>
  </w:style>
  <w:style w:type="paragraph" w:styleId="Style9">
    <w:name w:val="Указатель"/>
    <w:basedOn w:val="Normal"/>
    <w:qFormat/>
    <w:pPr>
      <w:suppressLineNumbers/>
    </w:pPr>
    <w:rPr>
      <w:rFonts w:cs="Lohit Devanagari"/>
    </w:rPr>
  </w:style>
  <w:style w:type="paragraph" w:styleId="ListParagraph">
    <w:name w:val="List Paragraph"/>
    <w:basedOn w:val="Normal"/>
    <w:uiPriority w:val="34"/>
    <w:qFormat/>
    <w:pPr>
      <w:spacing w:before="0" w:after="160"/>
      <w:ind w:left="720"/>
      <w:contextualSpacing/>
    </w:pPr>
    <w:rPr/>
  </w:style>
  <w:style w:type="paragraph" w:styleId="Title">
    <w:name w:val="Title"/>
    <w:basedOn w:val="Normal"/>
    <w:uiPriority w:val="10"/>
    <w:qFormat/>
    <w:pPr>
      <w:spacing w:before="300" w:after="200"/>
      <w:contextualSpacing/>
    </w:pPr>
    <w:rPr>
      <w:sz w:val="48"/>
      <w:szCs w:val="48"/>
    </w:rPr>
  </w:style>
  <w:style w:type="paragraph" w:styleId="Subtitle">
    <w:name w:val="Subtitle"/>
    <w:basedOn w:val="Normal"/>
    <w:uiPriority w:val="11"/>
    <w:qFormat/>
    <w:pPr>
      <w:spacing w:before="200" w:after="200"/>
    </w:pPr>
    <w:rPr>
      <w:sz w:val="24"/>
      <w:szCs w:val="24"/>
    </w:rPr>
  </w:style>
  <w:style w:type="paragraph" w:styleId="Quote">
    <w:name w:val="Quote"/>
    <w:basedOn w:val="Normal"/>
    <w:uiPriority w:val="29"/>
    <w:qFormat/>
    <w:pPr>
      <w:ind w:left="720" w:right="720"/>
    </w:pPr>
    <w:rPr>
      <w:i/>
    </w:rPr>
  </w:style>
  <w:style w:type="paragraph" w:styleId="IntenseQuote">
    <w:name w:val="Intense Quote"/>
    <w:basedOn w:val="Normal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spacing w:before="0" w:after="160"/>
      <w:ind w:left="720" w:right="720"/>
    </w:pPr>
    <w:rPr>
      <w:i/>
    </w:rPr>
  </w:style>
  <w:style w:type="paragraph" w:styleId="Style10">
    <w:name w:val="Колонтитул"/>
    <w:basedOn w:val="Normal"/>
    <w:qFormat/>
    <w:pPr/>
    <w:rPr/>
  </w:style>
  <w:style w:type="paragraph" w:styleId="Header">
    <w:name w:val="Header"/>
    <w:basedOn w:val="Normal"/>
    <w:uiPriority w:val="99"/>
    <w:unhideWhenUsed/>
    <w:pPr>
      <w:tabs>
        <w:tab w:val="clear" w:pos="708"/>
        <w:tab w:val="center" w:pos="7143" w:leader="none"/>
        <w:tab w:val="right" w:pos="14287" w:leader="none"/>
      </w:tabs>
      <w:spacing w:lineRule="auto" w:line="240" w:before="0" w:after="0"/>
    </w:pPr>
    <w:rPr/>
  </w:style>
  <w:style w:type="paragraph" w:styleId="Footer">
    <w:name w:val="Footer"/>
    <w:basedOn w:val="Normal"/>
    <w:uiPriority w:val="99"/>
    <w:unhideWhenUsed/>
    <w:pPr>
      <w:tabs>
        <w:tab w:val="clear" w:pos="708"/>
        <w:tab w:val="center" w:pos="7143" w:leader="none"/>
        <w:tab w:val="right" w:pos="14287" w:leader="none"/>
      </w:tabs>
      <w:spacing w:lineRule="auto" w:line="240" w:before="0" w:after="0"/>
    </w:pPr>
    <w:rPr/>
  </w:style>
  <w:style w:type="paragraph" w:styleId="FootnoteText">
    <w:name w:val="Footnote Text"/>
    <w:basedOn w:val="Normal"/>
    <w:uiPriority w:val="99"/>
    <w:semiHidden/>
    <w:unhideWhenUsed/>
    <w:pPr>
      <w:spacing w:lineRule="auto" w:line="240" w:before="0" w:after="40"/>
    </w:pPr>
    <w:rPr>
      <w:sz w:val="18"/>
    </w:rPr>
  </w:style>
  <w:style w:type="paragraph" w:styleId="EndnoteText">
    <w:name w:val="Endnote Text"/>
    <w:basedOn w:val="Normal"/>
    <w:uiPriority w:val="99"/>
    <w:semiHidden/>
    <w:unhideWhenUsed/>
    <w:pPr>
      <w:spacing w:lineRule="auto" w:line="240" w:before="0" w:after="0"/>
    </w:pPr>
    <w:rPr>
      <w:sz w:val="20"/>
    </w:rPr>
  </w:style>
  <w:style w:type="paragraph" w:styleId="TOC1">
    <w:name w:val="TOC 1"/>
    <w:basedOn w:val="Normal"/>
    <w:uiPriority w:val="39"/>
    <w:unhideWhenUsed/>
    <w:pPr>
      <w:spacing w:before="0" w:after="57"/>
      <w:ind w:hanging="0" w:left="0" w:right="0"/>
    </w:pPr>
    <w:rPr/>
  </w:style>
  <w:style w:type="paragraph" w:styleId="TOC2">
    <w:name w:val="TOC 2"/>
    <w:basedOn w:val="Normal"/>
    <w:uiPriority w:val="39"/>
    <w:unhideWhenUsed/>
    <w:pPr>
      <w:spacing w:before="0" w:after="57"/>
      <w:ind w:hanging="0" w:left="283" w:right="0"/>
    </w:pPr>
    <w:rPr/>
  </w:style>
  <w:style w:type="paragraph" w:styleId="TOC3">
    <w:name w:val="TOC 3"/>
    <w:basedOn w:val="Normal"/>
    <w:uiPriority w:val="39"/>
    <w:unhideWhenUsed/>
    <w:pPr>
      <w:spacing w:before="0" w:after="57"/>
      <w:ind w:hanging="0" w:left="567" w:right="0"/>
    </w:pPr>
    <w:rPr/>
  </w:style>
  <w:style w:type="paragraph" w:styleId="TOC4">
    <w:name w:val="TOC 4"/>
    <w:basedOn w:val="Normal"/>
    <w:uiPriority w:val="39"/>
    <w:unhideWhenUsed/>
    <w:pPr>
      <w:spacing w:before="0" w:after="57"/>
      <w:ind w:hanging="0" w:left="850" w:right="0"/>
    </w:pPr>
    <w:rPr/>
  </w:style>
  <w:style w:type="paragraph" w:styleId="TOC5">
    <w:name w:val="TOC 5"/>
    <w:basedOn w:val="Normal"/>
    <w:uiPriority w:val="39"/>
    <w:unhideWhenUsed/>
    <w:pPr>
      <w:spacing w:before="0" w:after="57"/>
      <w:ind w:hanging="0" w:left="1134" w:right="0"/>
    </w:pPr>
    <w:rPr/>
  </w:style>
  <w:style w:type="paragraph" w:styleId="TOC6">
    <w:name w:val="TOC 6"/>
    <w:basedOn w:val="Normal"/>
    <w:uiPriority w:val="39"/>
    <w:unhideWhenUsed/>
    <w:pPr>
      <w:spacing w:before="0" w:after="57"/>
      <w:ind w:hanging="0" w:left="1417" w:right="0"/>
    </w:pPr>
    <w:rPr/>
  </w:style>
  <w:style w:type="paragraph" w:styleId="TOC7">
    <w:name w:val="TOC 7"/>
    <w:basedOn w:val="Normal"/>
    <w:uiPriority w:val="39"/>
    <w:unhideWhenUsed/>
    <w:pPr>
      <w:spacing w:before="0" w:after="57"/>
      <w:ind w:hanging="0" w:left="1701" w:right="0"/>
    </w:pPr>
    <w:rPr/>
  </w:style>
  <w:style w:type="paragraph" w:styleId="TOC8">
    <w:name w:val="TOC 8"/>
    <w:basedOn w:val="Normal"/>
    <w:uiPriority w:val="39"/>
    <w:unhideWhenUsed/>
    <w:pPr>
      <w:spacing w:before="0" w:after="57"/>
      <w:ind w:hanging="0" w:left="1984" w:right="0"/>
    </w:pPr>
    <w:rPr/>
  </w:style>
  <w:style w:type="paragraph" w:styleId="TOC9">
    <w:name w:val="TOC 9"/>
    <w:basedOn w:val="Normal"/>
    <w:uiPriority w:val="39"/>
    <w:unhideWhenUsed/>
    <w:pPr>
      <w:spacing w:before="0" w:after="57"/>
      <w:ind w:hanging="0" w:left="2268" w:right="0"/>
    </w:pPr>
    <w:rPr/>
  </w:style>
  <w:style w:type="paragraph" w:styleId="IndexHeading">
    <w:name w:val="Index Heading"/>
    <w:basedOn w:val="Style8"/>
    <w:pPr/>
    <w:rPr/>
  </w:style>
  <w:style w:type="paragraph" w:styleId="TOCHeading">
    <w:name w:val="TOC Heading"/>
    <w:uiPriority w:val="39"/>
    <w:unhideWhenUsed/>
    <w:qFormat/>
    <w:pPr>
      <w:widowControl/>
      <w:suppressAutoHyphens w:val="true"/>
      <w:bidi w:val="0"/>
      <w:spacing w:lineRule="auto" w:line="259" w:beforeAutospacing="0" w:before="0" w:afterAutospacing="0" w:after="160"/>
      <w:jc w:val="left"/>
    </w:pPr>
    <w:rPr>
      <w:rFonts w:ascii="Calibri" w:hAnsi="Calibri" w:eastAsia="Calibri" w:cs="Arial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TableofFigures">
    <w:name w:val="Table of Figures"/>
    <w:basedOn w:val="Normal"/>
    <w:uiPriority w:val="99"/>
    <w:unhideWhenUsed/>
    <w:pPr>
      <w:spacing w:before="0" w:afterAutospacing="0" w:after="0"/>
    </w:pPr>
    <w:rPr/>
  </w:style>
  <w:style w:type="paragraph" w:styleId="141" w:customStyle="1">
    <w:name w:val="Основной текст (14)"/>
    <w:basedOn w:val="Normal"/>
    <w:qFormat/>
    <w:pPr>
      <w:widowControl w:val="false"/>
      <w:shd w:val="clear" w:color="auto" w:fill="FFFFFF"/>
      <w:spacing w:lineRule="exact" w:line="244" w:before="400" w:after="700"/>
      <w:jc w:val="center"/>
    </w:pPr>
    <w:rPr>
      <w:rFonts w:ascii="Times New Roman" w:hAnsi="Times New Roman" w:eastAsia="Times New Roman" w:cs="Times New Roman"/>
    </w:rPr>
  </w:style>
  <w:style w:type="paragraph" w:styleId="22" w:customStyle="1">
    <w:name w:val="Подпись к таблице (2)"/>
    <w:basedOn w:val="Normal"/>
    <w:qFormat/>
    <w:pPr>
      <w:widowControl w:val="false"/>
      <w:shd w:val="clear" w:color="auto" w:fill="FFFFFF"/>
      <w:spacing w:lineRule="exact" w:line="288" w:before="0" w:after="0"/>
    </w:pPr>
    <w:rPr>
      <w:rFonts w:ascii="Times New Roman" w:hAnsi="Times New Roman" w:eastAsia="Times New Roman" w:cs="Times New Roman"/>
      <w:b/>
      <w:bCs/>
      <w:sz w:val="26"/>
      <w:szCs w:val="26"/>
    </w:rPr>
  </w:style>
  <w:style w:type="paragraph" w:styleId="23" w:customStyle="1">
    <w:name w:val="Основной текст (2)"/>
    <w:basedOn w:val="Normal"/>
    <w:qFormat/>
    <w:pPr>
      <w:widowControl w:val="false"/>
      <w:shd w:val="clear" w:color="auto" w:fill="FFFFFF"/>
      <w:spacing w:lineRule="exact" w:line="321" w:before="0" w:after="320"/>
      <w:ind w:hanging="1740"/>
      <w:jc w:val="both"/>
    </w:pPr>
    <w:rPr>
      <w:rFonts w:ascii="Times New Roman" w:hAnsi="Times New Roman" w:eastAsia="Times New Roman" w:cs="Times New Roman"/>
      <w:sz w:val="26"/>
      <w:szCs w:val="26"/>
    </w:rPr>
  </w:style>
  <w:style w:type="paragraph" w:styleId="NoSpacing">
    <w:name w:val="No Spacing"/>
    <w:uiPriority w:val="1"/>
    <w:qFormat/>
    <w:pPr>
      <w:widowControl/>
      <w:suppressAutoHyphens w:val="true"/>
      <w:bidi w:val="0"/>
      <w:spacing w:lineRule="auto" w:line="240" w:beforeAutospacing="0" w:before="0" w:afterAutospacing="0" w:after="0"/>
      <w:jc w:val="left"/>
    </w:pPr>
    <w:rPr>
      <w:rFonts w:ascii="Calibri" w:hAnsi="Calibri" w:eastAsia="Calibri" w:cs="Arial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BalloonText">
    <w:name w:val="Balloon Text"/>
    <w:basedOn w:val="Normal"/>
    <w:uiPriority w:val="99"/>
    <w:semiHidden/>
    <w:unhideWhenUsed/>
    <w:qFormat/>
    <w:pPr>
      <w:spacing w:lineRule="auto" w:line="240" w:before="0" w:after="0"/>
    </w:pPr>
    <w:rPr>
      <w:rFonts w:ascii="Segoe UI" w:hAnsi="Segoe UI" w:cs="Segoe UI"/>
      <w:sz w:val="18"/>
      <w:szCs w:val="18"/>
    </w:rPr>
  </w:style>
  <w:style w:type="numbering" w:styleId="NoList" w:default="1">
    <w:name w:val="No List"/>
    <w:uiPriority w:val="99"/>
    <w:semiHidden/>
    <w:unhideWhenUsed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itchFamily="0" charset="1"/>
        <a:ea typeface="Arial" pitchFamily="0" charset="1"/>
        <a:cs typeface="Arial" pitchFamily="0" charset="1"/>
      </a:majorFont>
      <a:minorFont>
        <a:latin typeface="Calibri" pitchFamily="0" charset="1"/>
        <a:ea typeface="Arial" pitchFamily="0" charset="1"/>
        <a:cs typeface="Arial" pitchFamily="0" charset="1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Application>LibreOffice/7.6.7.2$Linux_X86_64 LibreOffice_project/60$Build-2</Application>
  <AppVersion>15.0000</AppVersion>
  <Pages>1</Pages>
  <Words>163</Words>
  <Characters>1052</Characters>
  <CharactersWithSpaces>1183</CharactersWithSpaces>
  <Paragraphs>34</Paragraphs>
  <Company>DVGK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2021-07-07T07:07:00Z</dcterms:created>
  <dc:creator>Семенова Елена Витальевна</dc:creator>
  <dc:description/>
  <dc:language>ru-RU</dc:language>
  <cp:lastModifiedBy/>
  <dcterms:modified xsi:type="dcterms:W3CDTF">2026-03-03T13:42:06Z</dcterms:modified>
  <cp:revision>75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